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99D" w:rsidRPr="00174DD7" w:rsidRDefault="00B8799D" w:rsidP="00B8799D">
      <w:pPr>
        <w:pStyle w:val="1"/>
        <w:spacing w:before="72"/>
        <w:rPr>
          <w:u w:val="none"/>
        </w:rPr>
      </w:pPr>
      <w:r>
        <w:rPr>
          <w:u w:val="none"/>
        </w:rPr>
        <w:t>Постачальник електричної енергії:</w:t>
      </w:r>
      <w:r w:rsidRPr="006B34DD">
        <w:rPr>
          <w:u w:val="none"/>
        </w:rPr>
        <w:t xml:space="preserve"> </w:t>
      </w:r>
      <w:r w:rsidRPr="00174DD7">
        <w:rPr>
          <w:u w:val="none"/>
        </w:rPr>
        <w:t>ТОВАРИСТВО З ОБМЕЖЕНОЮ</w:t>
      </w:r>
    </w:p>
    <w:p w:rsidR="00B8799D" w:rsidRDefault="00B8799D" w:rsidP="00B8799D">
      <w:pPr>
        <w:spacing w:before="2"/>
        <w:ind w:left="94"/>
        <w:jc w:val="center"/>
        <w:rPr>
          <w:b/>
          <w:sz w:val="28"/>
        </w:rPr>
      </w:pPr>
      <w:r w:rsidRPr="00174DD7">
        <w:rPr>
          <w:b/>
          <w:spacing w:val="-71"/>
          <w:sz w:val="28"/>
        </w:rPr>
        <w:t xml:space="preserve"> </w:t>
      </w:r>
      <w:r w:rsidRPr="00174DD7">
        <w:rPr>
          <w:b/>
          <w:sz w:val="28"/>
        </w:rPr>
        <w:t>ВІДПОВІДАЛЬНІСТЮ «РЕГІОН ЕНРГОЗБУТ»</w:t>
      </w:r>
    </w:p>
    <w:p w:rsidR="008932A5" w:rsidRDefault="008932A5">
      <w:pPr>
        <w:pStyle w:val="a3"/>
        <w:spacing w:before="1"/>
        <w:ind w:left="0"/>
        <w:rPr>
          <w:b/>
          <w:sz w:val="16"/>
        </w:rPr>
      </w:pPr>
    </w:p>
    <w:p w:rsidR="008932A5" w:rsidRDefault="004B452C">
      <w:pPr>
        <w:spacing w:before="90"/>
        <w:ind w:left="96"/>
        <w:jc w:val="center"/>
        <w:rPr>
          <w:b/>
          <w:i/>
          <w:sz w:val="24"/>
        </w:rPr>
      </w:pPr>
      <w:r>
        <w:rPr>
          <w:b/>
          <w:i/>
          <w:sz w:val="24"/>
        </w:rPr>
        <w:t>Комерційна пропозиція №3</w:t>
      </w:r>
    </w:p>
    <w:p w:rsidR="008932A5" w:rsidRDefault="008932A5">
      <w:pPr>
        <w:pStyle w:val="a3"/>
        <w:spacing w:before="6"/>
        <w:ind w:left="0"/>
        <w:rPr>
          <w:b/>
          <w:i/>
          <w:sz w:val="23"/>
        </w:rPr>
      </w:pPr>
    </w:p>
    <w:p w:rsidR="008932A5" w:rsidRDefault="004B452C">
      <w:pPr>
        <w:spacing w:before="1"/>
        <w:ind w:left="202" w:right="104"/>
        <w:jc w:val="both"/>
        <w:rPr>
          <w:sz w:val="24"/>
        </w:rPr>
      </w:pPr>
      <w:r>
        <w:rPr>
          <w:spacing w:val="-60"/>
          <w:sz w:val="24"/>
          <w:u w:val="thick"/>
        </w:rPr>
        <w:t xml:space="preserve"> </w:t>
      </w:r>
      <w:r w:rsidRPr="00B8799D">
        <w:rPr>
          <w:b/>
          <w:sz w:val="24"/>
          <w:u w:val="single"/>
        </w:rPr>
        <w:t>Критерії щодо обсягів постачання:</w:t>
      </w:r>
      <w:r>
        <w:rPr>
          <w:b/>
          <w:sz w:val="24"/>
        </w:rPr>
        <w:t xml:space="preserve"> </w:t>
      </w:r>
      <w:r>
        <w:rPr>
          <w:sz w:val="24"/>
        </w:rPr>
        <w:t>середньомісячне споживання від 200 до 499 тис. кВт. год. за останні 12 розрахункових періодів.</w:t>
      </w:r>
    </w:p>
    <w:p w:rsidR="008932A5" w:rsidRDefault="004B452C">
      <w:pPr>
        <w:pStyle w:val="a3"/>
        <w:ind w:right="122"/>
        <w:jc w:val="both"/>
      </w:pPr>
      <w:r>
        <w:rPr>
          <w:b/>
        </w:rPr>
        <w:t xml:space="preserve">Розрахунковий період: </w:t>
      </w:r>
      <w:r>
        <w:t>Розрахунковим періодом є календарний місяць та встановлюється з 1 числа місяця до такого ж числа наступного місяця.</w:t>
      </w:r>
    </w:p>
    <w:p w:rsidR="008932A5" w:rsidRDefault="004B452C">
      <w:pPr>
        <w:ind w:left="202" w:right="107"/>
        <w:jc w:val="both"/>
        <w:rPr>
          <w:sz w:val="24"/>
        </w:rPr>
      </w:pPr>
      <w:r>
        <w:rPr>
          <w:b/>
          <w:sz w:val="24"/>
        </w:rPr>
        <w:t xml:space="preserve">Прогнозована вартість електричної енергії: </w:t>
      </w:r>
      <w:r>
        <w:rPr>
          <w:sz w:val="24"/>
        </w:rPr>
        <w:t>обчислюється як добуток заявленого Споживачем</w:t>
      </w:r>
      <w:r>
        <w:rPr>
          <w:spacing w:val="-9"/>
          <w:sz w:val="24"/>
        </w:rPr>
        <w:t xml:space="preserve"> </w:t>
      </w:r>
      <w:r>
        <w:rPr>
          <w:sz w:val="24"/>
        </w:rPr>
        <w:t>обсягу</w:t>
      </w:r>
      <w:r>
        <w:rPr>
          <w:spacing w:val="-13"/>
          <w:sz w:val="24"/>
        </w:rPr>
        <w:t xml:space="preserve"> </w:t>
      </w:r>
      <w:r>
        <w:rPr>
          <w:sz w:val="24"/>
        </w:rPr>
        <w:t>електричної</w:t>
      </w:r>
      <w:r>
        <w:rPr>
          <w:spacing w:val="-9"/>
          <w:sz w:val="24"/>
        </w:rPr>
        <w:t xml:space="preserve"> </w:t>
      </w:r>
      <w:r>
        <w:rPr>
          <w:sz w:val="24"/>
        </w:rPr>
        <w:t>енергії,</w:t>
      </w:r>
      <w:r>
        <w:rPr>
          <w:spacing w:val="-11"/>
          <w:sz w:val="24"/>
        </w:rPr>
        <w:t xml:space="preserve"> </w:t>
      </w:r>
      <w:r>
        <w:rPr>
          <w:sz w:val="24"/>
        </w:rPr>
        <w:t>значення</w:t>
      </w:r>
      <w:r>
        <w:rPr>
          <w:spacing w:val="-9"/>
          <w:sz w:val="24"/>
        </w:rPr>
        <w:t xml:space="preserve"> </w:t>
      </w:r>
      <w:r>
        <w:rPr>
          <w:sz w:val="24"/>
        </w:rPr>
        <w:t>оприлюднених</w:t>
      </w:r>
      <w:r>
        <w:rPr>
          <w:spacing w:val="-8"/>
          <w:sz w:val="24"/>
        </w:rPr>
        <w:t xml:space="preserve"> </w:t>
      </w:r>
      <w:r>
        <w:rPr>
          <w:sz w:val="24"/>
        </w:rPr>
        <w:t>складових</w:t>
      </w:r>
      <w:r>
        <w:rPr>
          <w:spacing w:val="-9"/>
          <w:sz w:val="24"/>
        </w:rPr>
        <w:t xml:space="preserve"> </w:t>
      </w:r>
      <w:r>
        <w:rPr>
          <w:sz w:val="24"/>
        </w:rPr>
        <w:t>ціноутворення та тарифу послуг</w:t>
      </w:r>
      <w:r>
        <w:rPr>
          <w:spacing w:val="-7"/>
          <w:sz w:val="24"/>
        </w:rPr>
        <w:t xml:space="preserve"> </w:t>
      </w:r>
      <w:r>
        <w:rPr>
          <w:sz w:val="24"/>
        </w:rPr>
        <w:t>постачальника.</w:t>
      </w:r>
    </w:p>
    <w:p w:rsidR="008932A5" w:rsidRDefault="004B452C">
      <w:pPr>
        <w:pStyle w:val="a3"/>
      </w:pPr>
      <w:r>
        <w:rPr>
          <w:u w:val="single"/>
        </w:rPr>
        <w:t xml:space="preserve"> Складові ціноутворення:</w:t>
      </w:r>
    </w:p>
    <w:p w:rsidR="008932A5" w:rsidRDefault="004B452C">
      <w:pPr>
        <w:pStyle w:val="a4"/>
        <w:numPr>
          <w:ilvl w:val="0"/>
          <w:numId w:val="1"/>
        </w:numPr>
        <w:tabs>
          <w:tab w:val="left" w:pos="521"/>
          <w:tab w:val="left" w:pos="522"/>
        </w:tabs>
        <w:spacing w:line="278" w:lineRule="exact"/>
        <w:ind w:left="521"/>
        <w:rPr>
          <w:sz w:val="24"/>
        </w:rPr>
      </w:pPr>
      <w:r>
        <w:rPr>
          <w:sz w:val="24"/>
        </w:rPr>
        <w:t>Прогнозована ціна закупівлі (вартість закупівлі на усіх сегментах</w:t>
      </w:r>
      <w:r>
        <w:rPr>
          <w:spacing w:val="-6"/>
          <w:sz w:val="24"/>
        </w:rPr>
        <w:t xml:space="preserve"> </w:t>
      </w:r>
      <w:r>
        <w:rPr>
          <w:sz w:val="24"/>
        </w:rPr>
        <w:t>ринку);</w:t>
      </w:r>
    </w:p>
    <w:p w:rsidR="008932A5" w:rsidRDefault="004B452C">
      <w:pPr>
        <w:pStyle w:val="a4"/>
        <w:numPr>
          <w:ilvl w:val="0"/>
          <w:numId w:val="1"/>
        </w:numPr>
        <w:tabs>
          <w:tab w:val="left" w:pos="521"/>
          <w:tab w:val="left" w:pos="522"/>
        </w:tabs>
        <w:spacing w:line="276" w:lineRule="exact"/>
        <w:ind w:left="521"/>
        <w:rPr>
          <w:sz w:val="24"/>
        </w:rPr>
      </w:pPr>
      <w:r>
        <w:rPr>
          <w:sz w:val="24"/>
        </w:rPr>
        <w:t>Послуги з передачі електричної енергії ПрАТ «НЕК</w:t>
      </w:r>
      <w:r>
        <w:rPr>
          <w:spacing w:val="2"/>
          <w:sz w:val="24"/>
        </w:rPr>
        <w:t xml:space="preserve"> </w:t>
      </w:r>
      <w:r>
        <w:rPr>
          <w:sz w:val="24"/>
        </w:rPr>
        <w:t>«УКРЕНЕРГО»;</w:t>
      </w:r>
    </w:p>
    <w:p w:rsidR="008932A5" w:rsidRDefault="004B452C">
      <w:pPr>
        <w:pStyle w:val="a4"/>
        <w:numPr>
          <w:ilvl w:val="0"/>
          <w:numId w:val="1"/>
        </w:numPr>
        <w:tabs>
          <w:tab w:val="left" w:pos="521"/>
          <w:tab w:val="left" w:pos="522"/>
        </w:tabs>
        <w:spacing w:line="237" w:lineRule="auto"/>
        <w:ind w:right="109" w:firstLine="0"/>
        <w:rPr>
          <w:sz w:val="24"/>
        </w:rPr>
      </w:pPr>
      <w:r>
        <w:rPr>
          <w:sz w:val="24"/>
        </w:rPr>
        <w:t>Послуги з розподілу електричної енергії мережами відповідного оператора системи розподілу;</w:t>
      </w:r>
    </w:p>
    <w:p w:rsidR="008932A5" w:rsidRDefault="004B452C">
      <w:pPr>
        <w:pStyle w:val="a4"/>
        <w:numPr>
          <w:ilvl w:val="0"/>
          <w:numId w:val="1"/>
        </w:numPr>
        <w:tabs>
          <w:tab w:val="left" w:pos="521"/>
          <w:tab w:val="left" w:pos="522"/>
        </w:tabs>
        <w:spacing w:before="4" w:line="235" w:lineRule="auto"/>
        <w:ind w:right="105" w:firstLine="0"/>
        <w:rPr>
          <w:sz w:val="24"/>
        </w:rPr>
      </w:pPr>
      <w:r>
        <w:rPr>
          <w:sz w:val="24"/>
        </w:rPr>
        <w:t>Тариф послуг постачальника для даної комерційної пропозиції становить 0,</w:t>
      </w:r>
      <w:r w:rsidR="00FD35DD">
        <w:rPr>
          <w:sz w:val="24"/>
        </w:rPr>
        <w:t>05</w:t>
      </w:r>
      <w:bookmarkStart w:id="0" w:name="_GoBack"/>
      <w:bookmarkEnd w:id="0"/>
      <w:r>
        <w:rPr>
          <w:sz w:val="24"/>
        </w:rPr>
        <w:t xml:space="preserve"> грн/</w:t>
      </w:r>
      <w:proofErr w:type="spellStart"/>
      <w:r>
        <w:rPr>
          <w:sz w:val="24"/>
        </w:rPr>
        <w:t>кВт.год</w:t>
      </w:r>
      <w:proofErr w:type="spellEnd"/>
      <w:r>
        <w:rPr>
          <w:sz w:val="24"/>
        </w:rPr>
        <w:t>. без</w:t>
      </w:r>
      <w:r>
        <w:rPr>
          <w:spacing w:val="-1"/>
          <w:sz w:val="24"/>
        </w:rPr>
        <w:t xml:space="preserve"> </w:t>
      </w:r>
      <w:r>
        <w:rPr>
          <w:sz w:val="24"/>
        </w:rPr>
        <w:t>ПДВ;</w:t>
      </w:r>
    </w:p>
    <w:p w:rsidR="008932A5" w:rsidRDefault="004B452C">
      <w:pPr>
        <w:pStyle w:val="a3"/>
        <w:tabs>
          <w:tab w:val="left" w:pos="521"/>
        </w:tabs>
        <w:spacing w:before="2"/>
      </w:pPr>
      <w:r>
        <w:rPr>
          <w:rFonts w:ascii="Book Antiqua" w:hAnsi="Book Antiqua"/>
          <w:sz w:val="20"/>
        </w:rPr>
        <w:t>-</w:t>
      </w:r>
      <w:r>
        <w:rPr>
          <w:rFonts w:ascii="Book Antiqua" w:hAnsi="Book Antiqua"/>
          <w:sz w:val="20"/>
        </w:rPr>
        <w:tab/>
      </w:r>
      <w:r>
        <w:t>ПДВ</w:t>
      </w:r>
      <w:r>
        <w:rPr>
          <w:spacing w:val="-3"/>
        </w:rPr>
        <w:t xml:space="preserve"> </w:t>
      </w:r>
      <w:r>
        <w:t>20%.</w:t>
      </w:r>
    </w:p>
    <w:p w:rsidR="008932A5" w:rsidRDefault="004B452C">
      <w:pPr>
        <w:pStyle w:val="2"/>
        <w:spacing w:line="274" w:lineRule="exact"/>
      </w:pPr>
      <w:r>
        <w:t>Остаточна вартість електричної енергії:</w:t>
      </w:r>
    </w:p>
    <w:p w:rsidR="008932A5" w:rsidRDefault="004B452C">
      <w:pPr>
        <w:pStyle w:val="a3"/>
        <w:ind w:right="103"/>
        <w:jc w:val="both"/>
      </w:pPr>
      <w:r>
        <w:t>Визначається на підставі фактичних цін закупівлі електричної енергії на сегментах ринку та погодинного графіку навантаження, зчитаного з автоматизованої системи збору даних (АСЗД), що охоплює усі комерційні точки обліку споживача або показань лічильника/лічильників</w:t>
      </w:r>
      <w:r>
        <w:rPr>
          <w:spacing w:val="-19"/>
        </w:rPr>
        <w:t xml:space="preserve"> </w:t>
      </w:r>
      <w:r>
        <w:t>споживача,</w:t>
      </w:r>
      <w:r>
        <w:rPr>
          <w:spacing w:val="-16"/>
        </w:rPr>
        <w:t xml:space="preserve"> </w:t>
      </w:r>
      <w:r>
        <w:t>послуг</w:t>
      </w:r>
      <w:r>
        <w:rPr>
          <w:spacing w:val="-16"/>
        </w:rPr>
        <w:t xml:space="preserve"> </w:t>
      </w:r>
      <w:r>
        <w:t>оператора</w:t>
      </w:r>
      <w:r>
        <w:rPr>
          <w:spacing w:val="-17"/>
        </w:rPr>
        <w:t xml:space="preserve"> </w:t>
      </w:r>
      <w:r>
        <w:t>ринку,</w:t>
      </w:r>
      <w:r>
        <w:rPr>
          <w:spacing w:val="-15"/>
        </w:rPr>
        <w:t xml:space="preserve"> </w:t>
      </w:r>
      <w:r>
        <w:t>регуляторних</w:t>
      </w:r>
      <w:r>
        <w:rPr>
          <w:spacing w:val="-14"/>
        </w:rPr>
        <w:t xml:space="preserve"> </w:t>
      </w:r>
      <w:r>
        <w:t>внесків</w:t>
      </w:r>
      <w:r>
        <w:rPr>
          <w:spacing w:val="-16"/>
        </w:rPr>
        <w:t xml:space="preserve"> </w:t>
      </w:r>
      <w:r>
        <w:t>та</w:t>
      </w:r>
      <w:r>
        <w:rPr>
          <w:spacing w:val="-16"/>
        </w:rPr>
        <w:t xml:space="preserve"> </w:t>
      </w:r>
      <w:r>
        <w:t>інших платежів передбачених правилами ринку електричної енергії, послуг постачальника відповідно до критеріїв та добутку фактичної кількості спожитої електричної енергії на тариф розподілу, що затверджений НКРЕКП на певній території. На ціну електричної енергії та на тариф на послуги Постачальника нараховується</w:t>
      </w:r>
      <w:r>
        <w:rPr>
          <w:spacing w:val="-7"/>
        </w:rPr>
        <w:t xml:space="preserve"> </w:t>
      </w:r>
      <w:r>
        <w:t>ПДВ.</w:t>
      </w:r>
    </w:p>
    <w:p w:rsidR="008932A5" w:rsidRDefault="004B452C">
      <w:pPr>
        <w:pStyle w:val="2"/>
        <w:spacing w:before="3"/>
      </w:pPr>
      <w:r>
        <w:t>Тарифні коефіцієнти за зонами доби не застосовуються.</w:t>
      </w:r>
    </w:p>
    <w:p w:rsidR="008932A5" w:rsidRDefault="004B452C">
      <w:pPr>
        <w:spacing w:before="2" w:line="237" w:lineRule="auto"/>
        <w:ind w:left="202"/>
        <w:rPr>
          <w:sz w:val="24"/>
        </w:rPr>
      </w:pPr>
      <w:r>
        <w:rPr>
          <w:b/>
          <w:sz w:val="24"/>
        </w:rPr>
        <w:t xml:space="preserve">Урахування пільг, субсидій не передбачаються умовами комерційної пропозиції. Термін дії договору: </w:t>
      </w:r>
      <w:r>
        <w:rPr>
          <w:sz w:val="24"/>
        </w:rPr>
        <w:t xml:space="preserve">до акцептування процедури зміни постачальника споживачем. </w:t>
      </w:r>
      <w:r>
        <w:rPr>
          <w:b/>
          <w:sz w:val="24"/>
        </w:rPr>
        <w:t xml:space="preserve">Розірвання/припинення договору: </w:t>
      </w:r>
      <w:r>
        <w:rPr>
          <w:sz w:val="24"/>
        </w:rPr>
        <w:t>За ініціативою споживача здійснюється через заяву попередження за 21 день без нарахування штрафів.</w:t>
      </w:r>
    </w:p>
    <w:p w:rsidR="008932A5" w:rsidRDefault="004B452C">
      <w:pPr>
        <w:pStyle w:val="a3"/>
        <w:spacing w:before="2"/>
        <w:ind w:right="105"/>
        <w:jc w:val="both"/>
      </w:pPr>
      <w:r>
        <w:rPr>
          <w:b/>
        </w:rPr>
        <w:t xml:space="preserve">Зміна умов комерційної пропозиції: </w:t>
      </w:r>
      <w:r>
        <w:t>Про зміну умов цієї комерційної пропозиції, а також про зміну умов Договору, Постачальник інформує Споживачів не пізніше ніж за 30 календарних днів до дати запровадження таких змін шляхом розміщення відповідного повідомлення на своєму веб</w:t>
      </w:r>
      <w:r w:rsidR="00FC4366">
        <w:t>-</w:t>
      </w:r>
      <w:r>
        <w:t>сайті.</w:t>
      </w:r>
    </w:p>
    <w:p w:rsidR="008932A5" w:rsidRDefault="00FC4366">
      <w:pPr>
        <w:pStyle w:val="a3"/>
        <w:ind w:right="103"/>
        <w:jc w:val="both"/>
      </w:pPr>
      <w:r>
        <w:rPr>
          <w:b/>
        </w:rPr>
        <w:t xml:space="preserve">Обсяги споживання: </w:t>
      </w:r>
      <w:r w:rsidR="004B452C">
        <w:t>Замовлення обсягу необхідної кількості електричної енергії здійснюється Споживачем шляхом направлення постачальнику письмового повідомлення у</w:t>
      </w:r>
      <w:r w:rsidR="004B452C">
        <w:rPr>
          <w:spacing w:val="-11"/>
        </w:rPr>
        <w:t xml:space="preserve"> </w:t>
      </w:r>
      <w:r w:rsidR="004B452C">
        <w:t>вільній</w:t>
      </w:r>
      <w:r w:rsidR="004B452C">
        <w:rPr>
          <w:spacing w:val="-6"/>
        </w:rPr>
        <w:t xml:space="preserve"> </w:t>
      </w:r>
      <w:r w:rsidR="004B452C">
        <w:t>формі</w:t>
      </w:r>
      <w:r w:rsidR="004B452C">
        <w:rPr>
          <w:spacing w:val="-11"/>
        </w:rPr>
        <w:t xml:space="preserve"> </w:t>
      </w:r>
      <w:r w:rsidR="004B452C">
        <w:t>на</w:t>
      </w:r>
      <w:r w:rsidR="004B452C">
        <w:rPr>
          <w:spacing w:val="-9"/>
        </w:rPr>
        <w:t xml:space="preserve"> </w:t>
      </w:r>
      <w:r w:rsidR="004B452C">
        <w:t>електронну</w:t>
      </w:r>
      <w:r w:rsidR="004B452C">
        <w:rPr>
          <w:spacing w:val="-16"/>
        </w:rPr>
        <w:t xml:space="preserve"> </w:t>
      </w:r>
      <w:r w:rsidR="004B452C">
        <w:t>адресу</w:t>
      </w:r>
      <w:r w:rsidR="004B452C">
        <w:rPr>
          <w:spacing w:val="-10"/>
        </w:rPr>
        <w:t xml:space="preserve"> </w:t>
      </w:r>
      <w:hyperlink r:id="rId5">
        <w:hyperlink r:id="rId6" w:history="1">
          <w:r w:rsidR="00B8799D" w:rsidRPr="002C4C81">
            <w:rPr>
              <w:rStyle w:val="a5"/>
              <w:szCs w:val="22"/>
              <w:u w:color="0000FF"/>
            </w:rPr>
            <w:t>region.energosbyt@gmail.com</w:t>
          </w:r>
        </w:hyperlink>
        <w:r w:rsidR="004B452C">
          <w:rPr>
            <w:color w:val="0000FF"/>
            <w:spacing w:val="-7"/>
          </w:rPr>
          <w:t xml:space="preserve"> </w:t>
        </w:r>
      </w:hyperlink>
      <w:r w:rsidR="004B452C">
        <w:t>не</w:t>
      </w:r>
      <w:r w:rsidR="004B452C">
        <w:rPr>
          <w:spacing w:val="-9"/>
        </w:rPr>
        <w:t xml:space="preserve"> </w:t>
      </w:r>
      <w:r w:rsidR="004B452C">
        <w:t>пізніше</w:t>
      </w:r>
      <w:r w:rsidR="004B452C">
        <w:rPr>
          <w:spacing w:val="-9"/>
        </w:rPr>
        <w:t xml:space="preserve"> </w:t>
      </w:r>
      <w:r w:rsidR="004B452C">
        <w:t>ніж</w:t>
      </w:r>
      <w:r w:rsidR="004B452C">
        <w:rPr>
          <w:spacing w:val="-7"/>
        </w:rPr>
        <w:t xml:space="preserve"> </w:t>
      </w:r>
      <w:r w:rsidR="004B452C">
        <w:t>до</w:t>
      </w:r>
      <w:r w:rsidR="004B452C">
        <w:rPr>
          <w:spacing w:val="-8"/>
        </w:rPr>
        <w:t xml:space="preserve"> </w:t>
      </w:r>
      <w:r w:rsidR="00B8799D">
        <w:rPr>
          <w:spacing w:val="-8"/>
        </w:rPr>
        <w:br/>
      </w:r>
      <w:r w:rsidR="004B452C">
        <w:t>15</w:t>
      </w:r>
      <w:r w:rsidR="004B452C">
        <w:rPr>
          <w:spacing w:val="-8"/>
        </w:rPr>
        <w:t xml:space="preserve"> </w:t>
      </w:r>
      <w:r w:rsidR="004B452C">
        <w:t>числа місяця, що передує місяцю постачання. Коригування цього обсягу може відбуватися шляхом подачі нового замовлення до 15 числа розрахункового періоду в якому необхідно збільшити замовлений обсяг електричної енергії, при умові, що коштів, сплачених за електричну енергію, вистачає з урахуванням скоригованої кількості електричної енергії. Без урахування достатності коштів – коригування не проводиться.</w:t>
      </w:r>
    </w:p>
    <w:p w:rsidR="008932A5" w:rsidRDefault="004B452C">
      <w:pPr>
        <w:pStyle w:val="a3"/>
        <w:spacing w:before="1"/>
        <w:ind w:right="104"/>
        <w:jc w:val="both"/>
      </w:pPr>
      <w:r>
        <w:rPr>
          <w:b/>
        </w:rPr>
        <w:t>Плата</w:t>
      </w:r>
      <w:r>
        <w:rPr>
          <w:b/>
          <w:spacing w:val="-11"/>
        </w:rPr>
        <w:t xml:space="preserve"> </w:t>
      </w:r>
      <w:r>
        <w:rPr>
          <w:b/>
        </w:rPr>
        <w:t>за</w:t>
      </w:r>
      <w:r>
        <w:rPr>
          <w:b/>
          <w:spacing w:val="-10"/>
        </w:rPr>
        <w:t xml:space="preserve"> </w:t>
      </w:r>
      <w:r>
        <w:rPr>
          <w:b/>
        </w:rPr>
        <w:t>розподіл</w:t>
      </w:r>
      <w:r>
        <w:rPr>
          <w:b/>
          <w:spacing w:val="-10"/>
        </w:rPr>
        <w:t xml:space="preserve"> </w:t>
      </w:r>
      <w:r>
        <w:rPr>
          <w:b/>
        </w:rPr>
        <w:t>електричної</w:t>
      </w:r>
      <w:r>
        <w:rPr>
          <w:b/>
          <w:spacing w:val="-9"/>
        </w:rPr>
        <w:t xml:space="preserve"> </w:t>
      </w:r>
      <w:r>
        <w:rPr>
          <w:b/>
        </w:rPr>
        <w:t>енергії</w:t>
      </w:r>
      <w:r>
        <w:rPr>
          <w:b/>
          <w:spacing w:val="-9"/>
        </w:rPr>
        <w:t xml:space="preserve"> </w:t>
      </w:r>
      <w:r>
        <w:rPr>
          <w:b/>
        </w:rPr>
        <w:t>(на</w:t>
      </w:r>
      <w:r>
        <w:rPr>
          <w:b/>
          <w:spacing w:val="-12"/>
        </w:rPr>
        <w:t xml:space="preserve"> </w:t>
      </w:r>
      <w:r>
        <w:rPr>
          <w:b/>
        </w:rPr>
        <w:t>вибір):</w:t>
      </w:r>
      <w:r>
        <w:rPr>
          <w:b/>
          <w:spacing w:val="-8"/>
        </w:rPr>
        <w:t xml:space="preserve"> </w:t>
      </w:r>
      <w:r>
        <w:t>Споживач</w:t>
      </w:r>
      <w:r>
        <w:rPr>
          <w:spacing w:val="-10"/>
        </w:rPr>
        <w:t xml:space="preserve"> </w:t>
      </w:r>
      <w:r>
        <w:t>сплачує</w:t>
      </w:r>
      <w:r>
        <w:rPr>
          <w:spacing w:val="-8"/>
        </w:rPr>
        <w:t xml:space="preserve"> </w:t>
      </w:r>
      <w:r>
        <w:t>самостійно</w:t>
      </w:r>
      <w:r>
        <w:rPr>
          <w:spacing w:val="-10"/>
        </w:rPr>
        <w:t xml:space="preserve"> </w:t>
      </w:r>
      <w:r>
        <w:t>напряму ОСР, або через Постачальника у розмірі 100% від вартості передачі замовленого обсягу, згідно тарифу відповідного ОСР до початку розрахункового періоду. Про обраний Споживачем варіант оплати послуг з розподілу електричної енергії вказується у Заяві- приєднанні до договору про постачання електричної енергії</w:t>
      </w:r>
      <w:r>
        <w:rPr>
          <w:spacing w:val="-9"/>
        </w:rPr>
        <w:t xml:space="preserve"> </w:t>
      </w:r>
      <w:r>
        <w:t>Споживачу.</w:t>
      </w:r>
    </w:p>
    <w:p w:rsidR="00EC4FCD" w:rsidRDefault="00EC4FCD">
      <w:pPr>
        <w:pStyle w:val="a3"/>
        <w:spacing w:before="1"/>
        <w:ind w:right="104"/>
        <w:jc w:val="both"/>
      </w:pPr>
    </w:p>
    <w:p w:rsidR="00EC4FCD" w:rsidRDefault="00EC4FCD">
      <w:pPr>
        <w:pStyle w:val="a3"/>
        <w:spacing w:before="1"/>
        <w:ind w:right="104"/>
        <w:jc w:val="both"/>
      </w:pPr>
    </w:p>
    <w:p w:rsidR="00EC4FCD" w:rsidRDefault="00EC4FCD">
      <w:pPr>
        <w:pStyle w:val="a3"/>
        <w:spacing w:before="1"/>
        <w:ind w:right="104"/>
        <w:jc w:val="both"/>
      </w:pPr>
    </w:p>
    <w:p w:rsidR="00EC4FCD" w:rsidRDefault="00EC4FCD">
      <w:pPr>
        <w:pStyle w:val="a3"/>
        <w:spacing w:before="1"/>
        <w:ind w:right="104"/>
        <w:jc w:val="both"/>
      </w:pPr>
    </w:p>
    <w:p w:rsidR="008932A5" w:rsidRDefault="004B452C">
      <w:pPr>
        <w:pStyle w:val="2"/>
        <w:spacing w:before="5"/>
      </w:pPr>
      <w:r>
        <w:lastRenderedPageBreak/>
        <w:t>Графік оплати за постачання електричної енергії:</w:t>
      </w:r>
    </w:p>
    <w:p w:rsidR="008932A5" w:rsidRDefault="004B452C" w:rsidP="00FC4366">
      <w:pPr>
        <w:pStyle w:val="a3"/>
        <w:spacing w:before="66"/>
        <w:jc w:val="both"/>
      </w:pPr>
      <w:r>
        <w:t>1/3 від прогнозної вартості замовленого обсягу до 25 числа місяця, що передує місяцю постачання;</w:t>
      </w:r>
    </w:p>
    <w:p w:rsidR="008932A5" w:rsidRDefault="004B452C" w:rsidP="00FC4366">
      <w:pPr>
        <w:pStyle w:val="a3"/>
        <w:ind w:right="890"/>
        <w:jc w:val="both"/>
      </w:pPr>
      <w:r>
        <w:t>1/3 від прогнозної вартості замовленого обсягу до 10 числа розрахункового місяця; 1/3 від прогнозної вартості замовленого обсягу до 15 числа розрахункового місяця.</w:t>
      </w:r>
    </w:p>
    <w:p w:rsidR="008932A5" w:rsidRDefault="004B452C" w:rsidP="00FC4366">
      <w:pPr>
        <w:pStyle w:val="a3"/>
        <w:spacing w:before="1"/>
        <w:ind w:right="103"/>
        <w:jc w:val="both"/>
      </w:pPr>
      <w:r>
        <w:rPr>
          <w:b/>
        </w:rPr>
        <w:t>Спосіб</w:t>
      </w:r>
      <w:r>
        <w:rPr>
          <w:b/>
          <w:spacing w:val="-16"/>
        </w:rPr>
        <w:t xml:space="preserve"> </w:t>
      </w:r>
      <w:r>
        <w:rPr>
          <w:b/>
        </w:rPr>
        <w:t>оплати:</w:t>
      </w:r>
      <w:r>
        <w:rPr>
          <w:b/>
          <w:spacing w:val="-15"/>
        </w:rPr>
        <w:t xml:space="preserve"> </w:t>
      </w:r>
      <w:r>
        <w:t>на</w:t>
      </w:r>
      <w:r>
        <w:rPr>
          <w:spacing w:val="-16"/>
        </w:rPr>
        <w:t xml:space="preserve"> </w:t>
      </w:r>
      <w:r>
        <w:t>розрахунковий</w:t>
      </w:r>
      <w:r>
        <w:rPr>
          <w:spacing w:val="-14"/>
        </w:rPr>
        <w:t xml:space="preserve"> </w:t>
      </w:r>
      <w:r>
        <w:t>рахунок</w:t>
      </w:r>
      <w:r>
        <w:rPr>
          <w:spacing w:val="-15"/>
        </w:rPr>
        <w:t xml:space="preserve"> </w:t>
      </w:r>
      <w:r>
        <w:t>постачальника</w:t>
      </w:r>
      <w:r>
        <w:rPr>
          <w:spacing w:val="-11"/>
        </w:rPr>
        <w:t xml:space="preserve"> </w:t>
      </w:r>
      <w:r>
        <w:t>авансовим</w:t>
      </w:r>
      <w:r>
        <w:rPr>
          <w:spacing w:val="-16"/>
        </w:rPr>
        <w:t xml:space="preserve"> </w:t>
      </w:r>
      <w:r>
        <w:t>платежем</w:t>
      </w:r>
      <w:r>
        <w:rPr>
          <w:spacing w:val="-15"/>
        </w:rPr>
        <w:t xml:space="preserve"> </w:t>
      </w:r>
      <w:r>
        <w:t>згідно</w:t>
      </w:r>
      <w:r>
        <w:rPr>
          <w:spacing w:val="-15"/>
        </w:rPr>
        <w:t xml:space="preserve"> </w:t>
      </w:r>
      <w:r>
        <w:t>даної пропозиції та виставленого рахунку, в якому зазначено прогнозована вартість постачання електричної енергії. Рахунок надається споживачу за 5 робочих днів до початку розрахункового</w:t>
      </w:r>
      <w:r>
        <w:rPr>
          <w:spacing w:val="-1"/>
        </w:rPr>
        <w:t xml:space="preserve"> </w:t>
      </w:r>
      <w:r>
        <w:t>періоду;</w:t>
      </w:r>
    </w:p>
    <w:p w:rsidR="008932A5" w:rsidRDefault="004B452C" w:rsidP="00FC4366">
      <w:pPr>
        <w:pStyle w:val="a3"/>
        <w:ind w:right="104"/>
        <w:jc w:val="both"/>
      </w:pPr>
      <w:r>
        <w:rPr>
          <w:b/>
        </w:rPr>
        <w:t xml:space="preserve">Акт купівлі-продажу електричної енергії </w:t>
      </w:r>
      <w:r>
        <w:t>з остаточною вартістю електричної енергії та фактичною кількістю спожитої електроенергії у розрахунковому періоді, надається споживачу</w:t>
      </w:r>
      <w:r>
        <w:rPr>
          <w:spacing w:val="-10"/>
        </w:rPr>
        <w:t xml:space="preserve"> </w:t>
      </w:r>
      <w:r>
        <w:t>до</w:t>
      </w:r>
      <w:r>
        <w:rPr>
          <w:spacing w:val="-6"/>
        </w:rPr>
        <w:t xml:space="preserve"> </w:t>
      </w:r>
      <w:r>
        <w:t>5</w:t>
      </w:r>
      <w:r>
        <w:rPr>
          <w:spacing w:val="-5"/>
        </w:rPr>
        <w:t xml:space="preserve"> </w:t>
      </w:r>
      <w:r>
        <w:t>робочого</w:t>
      </w:r>
      <w:r>
        <w:rPr>
          <w:spacing w:val="-5"/>
        </w:rPr>
        <w:t xml:space="preserve"> </w:t>
      </w:r>
      <w:r>
        <w:t>дня</w:t>
      </w:r>
      <w:r>
        <w:rPr>
          <w:spacing w:val="-5"/>
        </w:rPr>
        <w:t xml:space="preserve"> </w:t>
      </w:r>
      <w:r>
        <w:t>місяця,</w:t>
      </w:r>
      <w:r>
        <w:rPr>
          <w:spacing w:val="-7"/>
        </w:rPr>
        <w:t xml:space="preserve"> </w:t>
      </w:r>
      <w:r>
        <w:t>наступного</w:t>
      </w:r>
      <w:r>
        <w:rPr>
          <w:spacing w:val="-5"/>
        </w:rPr>
        <w:t xml:space="preserve"> </w:t>
      </w:r>
      <w:r>
        <w:t>за</w:t>
      </w:r>
      <w:r>
        <w:rPr>
          <w:spacing w:val="-6"/>
        </w:rPr>
        <w:t xml:space="preserve"> </w:t>
      </w:r>
      <w:r>
        <w:t>розрахунковим.</w:t>
      </w:r>
      <w:r>
        <w:rPr>
          <w:spacing w:val="-1"/>
        </w:rPr>
        <w:t xml:space="preserve"> </w:t>
      </w:r>
      <w:r>
        <w:t>Разом</w:t>
      </w:r>
      <w:r>
        <w:rPr>
          <w:spacing w:val="-6"/>
        </w:rPr>
        <w:t xml:space="preserve"> </w:t>
      </w:r>
      <w:r>
        <w:t>з</w:t>
      </w:r>
      <w:r>
        <w:rPr>
          <w:spacing w:val="-4"/>
        </w:rPr>
        <w:t xml:space="preserve"> </w:t>
      </w:r>
      <w:r>
        <w:t>Актом</w:t>
      </w:r>
      <w:r>
        <w:rPr>
          <w:spacing w:val="-3"/>
        </w:rPr>
        <w:t xml:space="preserve"> </w:t>
      </w:r>
      <w:r>
        <w:t>купівлі- продажу електричної енергії також надається рахунок на проведення остаточного розрахунку.</w:t>
      </w:r>
    </w:p>
    <w:p w:rsidR="008932A5" w:rsidRDefault="004B452C" w:rsidP="00FC4366">
      <w:pPr>
        <w:pStyle w:val="a3"/>
        <w:ind w:right="27"/>
        <w:jc w:val="both"/>
      </w:pPr>
      <w:r>
        <w:t xml:space="preserve">Оплата рахунка Постачальника за Договором має бути здійснена Споживачем у строки, визначені в рахунку, але не більше 5 робочих днів від дати його отримання Споживачем. </w:t>
      </w:r>
      <w:r>
        <w:rPr>
          <w:b/>
        </w:rPr>
        <w:t xml:space="preserve">Штрафи: </w:t>
      </w:r>
      <w:r>
        <w:t>За порушення термінів попередньої оплати Споживачу нараховується пеня у розмірі подвійної облікової ставки НБУ, яка діє на день прострочення, за кожен день прострочення, без обмеження періоду її нарахування, до дати повної оплати. У разі перевищення замовленого обсягу електричної енергії більше ніж на 10%, окрім вартості перевищеного обсягу, споживач сплачує постачальнику штраф у розмірі 2% від вартості різниці між замовленим та фактичним обсягом споживання у розрахунковому періоді. Компенсація за недотримання постачальником комерційної якості надання послуг надається у порядку та розмірі, визначеному Регулятором.</w:t>
      </w:r>
    </w:p>
    <w:p w:rsidR="008932A5" w:rsidRDefault="004B452C" w:rsidP="00FC4366">
      <w:pPr>
        <w:pStyle w:val="a3"/>
        <w:spacing w:before="1"/>
        <w:jc w:val="both"/>
      </w:pPr>
      <w:r>
        <w:rPr>
          <w:b/>
        </w:rPr>
        <w:t xml:space="preserve">Термін дії договору: </w:t>
      </w:r>
      <w:r>
        <w:t>Договір діє до моменту початку постачання електричної енергії споживачу іншим постачальником, в тому числі постачальником «останньої надії».</w:t>
      </w:r>
    </w:p>
    <w:p w:rsidR="008932A5" w:rsidRDefault="004B452C" w:rsidP="00FC4366">
      <w:pPr>
        <w:pStyle w:val="a3"/>
        <w:ind w:right="101"/>
        <w:jc w:val="both"/>
      </w:pPr>
      <w:r>
        <w:t>У разі, якщо на момент укладання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8932A5" w:rsidRDefault="004B452C" w:rsidP="00FC4366">
      <w:pPr>
        <w:pStyle w:val="a3"/>
        <w:ind w:right="108"/>
        <w:jc w:val="both"/>
      </w:pPr>
      <w:r>
        <w:rPr>
          <w:b/>
        </w:rPr>
        <w:t xml:space="preserve">Форми зв’язку: </w:t>
      </w:r>
      <w:r>
        <w:t>документообіг, запити та відповіді на них здійснюється через електронну скриньку, телефон, пошту чи у інший зручний спосіб.</w:t>
      </w:r>
    </w:p>
    <w:p w:rsidR="008932A5" w:rsidRDefault="008932A5">
      <w:pPr>
        <w:pStyle w:val="a3"/>
        <w:spacing w:before="3" w:after="1"/>
        <w:ind w:left="0"/>
        <w:rPr>
          <w:sz w:val="25"/>
        </w:rPr>
      </w:pPr>
    </w:p>
    <w:tbl>
      <w:tblPr>
        <w:tblStyle w:val="TableNormal"/>
        <w:tblW w:w="5281" w:type="dxa"/>
        <w:tblInd w:w="122" w:type="dxa"/>
        <w:tblLayout w:type="fixed"/>
        <w:tblLook w:val="01E0" w:firstRow="1" w:lastRow="1" w:firstColumn="1" w:lastColumn="1" w:noHBand="0" w:noVBand="0"/>
      </w:tblPr>
      <w:tblGrid>
        <w:gridCol w:w="5281"/>
      </w:tblGrid>
      <w:tr w:rsidR="00EC4FCD" w:rsidTr="00EC4FCD">
        <w:trPr>
          <w:trHeight w:val="268"/>
        </w:trPr>
        <w:tc>
          <w:tcPr>
            <w:tcW w:w="5281" w:type="dxa"/>
            <w:vAlign w:val="center"/>
          </w:tcPr>
          <w:p w:rsidR="00EC4FCD" w:rsidRPr="00B63499" w:rsidRDefault="00EC4FCD" w:rsidP="00EC4FCD">
            <w:pPr>
              <w:pStyle w:val="TableParagraph"/>
              <w:spacing w:line="248" w:lineRule="exact"/>
              <w:rPr>
                <w:b/>
                <w:sz w:val="28"/>
              </w:rPr>
            </w:pPr>
            <w:r w:rsidRPr="00B63499">
              <w:rPr>
                <w:b/>
                <w:sz w:val="28"/>
              </w:rPr>
              <w:t>ТОВ «РЕГІОН ЕНЕРГОЗБУТ»</w:t>
            </w:r>
          </w:p>
        </w:tc>
      </w:tr>
      <w:tr w:rsidR="00EC4FCD" w:rsidTr="00EC4FCD">
        <w:trPr>
          <w:trHeight w:val="273"/>
        </w:trPr>
        <w:tc>
          <w:tcPr>
            <w:tcW w:w="5281" w:type="dxa"/>
          </w:tcPr>
          <w:p w:rsidR="00EC4FCD" w:rsidRDefault="00EC4FCD" w:rsidP="00EC4FCD">
            <w:pPr>
              <w:pStyle w:val="TableParagraph"/>
              <w:spacing w:line="254" w:lineRule="exact"/>
              <w:ind w:left="156"/>
              <w:rPr>
                <w:sz w:val="24"/>
              </w:rPr>
            </w:pPr>
            <w:r>
              <w:rPr>
                <w:sz w:val="24"/>
              </w:rPr>
              <w:t>ЕІС-код №:</w:t>
            </w:r>
            <w:r>
              <w:t xml:space="preserve"> </w:t>
            </w:r>
            <w:r w:rsidRPr="00CE789E">
              <w:rPr>
                <w:sz w:val="24"/>
              </w:rPr>
              <w:t>62Х2286902580108</w:t>
            </w:r>
          </w:p>
        </w:tc>
      </w:tr>
      <w:tr w:rsidR="00EC4FCD" w:rsidTr="00EC4FCD">
        <w:trPr>
          <w:trHeight w:val="552"/>
        </w:trPr>
        <w:tc>
          <w:tcPr>
            <w:tcW w:w="5281" w:type="dxa"/>
          </w:tcPr>
          <w:p w:rsidR="00EC4FCD" w:rsidRPr="00CE789E" w:rsidRDefault="00EC4FCD" w:rsidP="00EC4FCD">
            <w:pPr>
              <w:pStyle w:val="TableParagraph"/>
              <w:spacing w:line="261" w:lineRule="exact"/>
              <w:ind w:left="156"/>
              <w:jc w:val="both"/>
              <w:rPr>
                <w:sz w:val="24"/>
                <w:szCs w:val="24"/>
              </w:rPr>
            </w:pPr>
            <w:r w:rsidRPr="00CE789E">
              <w:rPr>
                <w:sz w:val="24"/>
                <w:szCs w:val="24"/>
              </w:rPr>
              <w:t>Адреса: Україна, 53303, Дніпропетровська обл., м. Покров, вул. Тикви, буд.10</w:t>
            </w:r>
          </w:p>
        </w:tc>
      </w:tr>
      <w:tr w:rsidR="00EC4FCD" w:rsidTr="00EC4FCD">
        <w:trPr>
          <w:trHeight w:val="552"/>
        </w:trPr>
        <w:tc>
          <w:tcPr>
            <w:tcW w:w="5281" w:type="dxa"/>
          </w:tcPr>
          <w:p w:rsidR="00EC4FCD" w:rsidRDefault="00EC4FCD" w:rsidP="00EC4FCD">
            <w:pPr>
              <w:pStyle w:val="TableParagraph"/>
              <w:spacing w:line="271" w:lineRule="exact"/>
              <w:ind w:left="156"/>
              <w:rPr>
                <w:sz w:val="24"/>
              </w:rPr>
            </w:pPr>
            <w:r>
              <w:rPr>
                <w:sz w:val="24"/>
              </w:rPr>
              <w:t>Рахунок зі спеціальним режимом</w:t>
            </w:r>
            <w:r>
              <w:rPr>
                <w:spacing w:val="-19"/>
                <w:sz w:val="24"/>
              </w:rPr>
              <w:t xml:space="preserve"> </w:t>
            </w:r>
            <w:r>
              <w:rPr>
                <w:sz w:val="24"/>
              </w:rPr>
              <w:t>використання</w:t>
            </w:r>
          </w:p>
          <w:p w:rsidR="00EC4FCD" w:rsidRDefault="00EC4FCD" w:rsidP="00EC4FCD">
            <w:pPr>
              <w:pStyle w:val="TableParagraph"/>
              <w:tabs>
                <w:tab w:val="left" w:pos="3175"/>
              </w:tabs>
              <w:spacing w:line="261" w:lineRule="exact"/>
              <w:ind w:left="156"/>
              <w:rPr>
                <w:sz w:val="24"/>
              </w:rPr>
            </w:pPr>
            <w:r>
              <w:rPr>
                <w:sz w:val="24"/>
              </w:rPr>
              <w:t>№</w:t>
            </w:r>
            <w:r w:rsidRPr="00CE789E">
              <w:rPr>
                <w:lang w:val="ru-RU"/>
              </w:rPr>
              <w:t xml:space="preserve"> </w:t>
            </w:r>
            <w:r w:rsidRPr="00CE789E">
              <w:rPr>
                <w:sz w:val="24"/>
                <w:lang w:val="en-US"/>
              </w:rPr>
              <w:t>UA</w:t>
            </w:r>
            <w:r w:rsidRPr="00CE789E">
              <w:rPr>
                <w:sz w:val="24"/>
              </w:rPr>
              <w:t>903054820000026009300022666</w:t>
            </w:r>
            <w:r>
              <w:rPr>
                <w:sz w:val="24"/>
              </w:rPr>
              <w:t xml:space="preserve"> </w:t>
            </w:r>
          </w:p>
          <w:p w:rsidR="00EC4FCD" w:rsidRDefault="00EC4FCD" w:rsidP="00EC4FCD">
            <w:pPr>
              <w:pStyle w:val="TableParagraph"/>
              <w:tabs>
                <w:tab w:val="left" w:pos="3175"/>
              </w:tabs>
              <w:spacing w:line="261" w:lineRule="exact"/>
              <w:ind w:left="156"/>
              <w:rPr>
                <w:sz w:val="24"/>
              </w:rPr>
            </w:pPr>
            <w:r w:rsidRPr="00CE789E">
              <w:rPr>
                <w:sz w:val="24"/>
              </w:rPr>
              <w:t>в Філії — Дніпропетровське ОУ АТ  “Ощадбанк”</w:t>
            </w:r>
          </w:p>
        </w:tc>
      </w:tr>
      <w:tr w:rsidR="00EC4FCD" w:rsidTr="00EC4FCD">
        <w:trPr>
          <w:trHeight w:val="275"/>
        </w:trPr>
        <w:tc>
          <w:tcPr>
            <w:tcW w:w="5281" w:type="dxa"/>
          </w:tcPr>
          <w:p w:rsidR="00EC4FCD" w:rsidRDefault="00EC4FCD" w:rsidP="00EC4FCD">
            <w:pPr>
              <w:pStyle w:val="TableParagraph"/>
              <w:ind w:left="156"/>
              <w:rPr>
                <w:sz w:val="24"/>
              </w:rPr>
            </w:pPr>
            <w:r>
              <w:rPr>
                <w:sz w:val="24"/>
              </w:rPr>
              <w:t>Код ЄДРПОУ 31881351</w:t>
            </w:r>
          </w:p>
        </w:tc>
      </w:tr>
      <w:tr w:rsidR="00EC4FCD" w:rsidTr="00EC4FCD">
        <w:trPr>
          <w:trHeight w:val="276"/>
        </w:trPr>
        <w:tc>
          <w:tcPr>
            <w:tcW w:w="5281" w:type="dxa"/>
          </w:tcPr>
          <w:p w:rsidR="00EC4FCD" w:rsidRDefault="00EC4FCD" w:rsidP="00EC4FCD">
            <w:pPr>
              <w:pStyle w:val="TableParagraph"/>
              <w:ind w:left="156"/>
              <w:rPr>
                <w:sz w:val="24"/>
              </w:rPr>
            </w:pPr>
            <w:r>
              <w:rPr>
                <w:sz w:val="24"/>
              </w:rPr>
              <w:t>ІПН 318813504099</w:t>
            </w:r>
          </w:p>
        </w:tc>
      </w:tr>
      <w:tr w:rsidR="00EC4FCD" w:rsidTr="00EC4FCD">
        <w:trPr>
          <w:trHeight w:val="276"/>
        </w:trPr>
        <w:tc>
          <w:tcPr>
            <w:tcW w:w="5281" w:type="dxa"/>
          </w:tcPr>
          <w:p w:rsidR="00EC4FCD" w:rsidRDefault="00EC4FCD" w:rsidP="00EC4FCD">
            <w:pPr>
              <w:ind w:left="156"/>
            </w:pPr>
            <w:r w:rsidRPr="0078704F">
              <w:rPr>
                <w:color w:val="000000"/>
                <w:sz w:val="24"/>
                <w:szCs w:val="20"/>
                <w:shd w:val="clear" w:color="auto" w:fill="FFFFFF"/>
              </w:rPr>
              <w:t xml:space="preserve">Платник податку на прибуток на загальних </w:t>
            </w:r>
            <w:r>
              <w:rPr>
                <w:color w:val="000000"/>
                <w:sz w:val="24"/>
                <w:szCs w:val="20"/>
                <w:shd w:val="clear" w:color="auto" w:fill="FFFFFF"/>
              </w:rPr>
              <w:t xml:space="preserve">    </w:t>
            </w:r>
            <w:r w:rsidRPr="0078704F">
              <w:rPr>
                <w:color w:val="000000"/>
                <w:sz w:val="24"/>
                <w:szCs w:val="20"/>
                <w:shd w:val="clear" w:color="auto" w:fill="FFFFFF"/>
              </w:rPr>
              <w:t>підставах. Платник ПДВ.</w:t>
            </w:r>
          </w:p>
        </w:tc>
      </w:tr>
      <w:tr w:rsidR="00EC4FCD" w:rsidTr="00EC4FCD">
        <w:trPr>
          <w:trHeight w:val="275"/>
        </w:trPr>
        <w:tc>
          <w:tcPr>
            <w:tcW w:w="5281" w:type="dxa"/>
          </w:tcPr>
          <w:p w:rsidR="00EC4FCD" w:rsidRDefault="00EC4FCD" w:rsidP="00EC4FCD">
            <w:pPr>
              <w:pStyle w:val="TableParagraph"/>
              <w:spacing w:line="271" w:lineRule="exact"/>
              <w:rPr>
                <w:sz w:val="24"/>
              </w:rPr>
            </w:pPr>
            <w:proofErr w:type="spellStart"/>
            <w:r>
              <w:rPr>
                <w:sz w:val="24"/>
              </w:rPr>
              <w:t>тел</w:t>
            </w:r>
            <w:proofErr w:type="spellEnd"/>
            <w:r>
              <w:rPr>
                <w:sz w:val="24"/>
              </w:rPr>
              <w:t>.:</w:t>
            </w:r>
            <w:r>
              <w:rPr>
                <w:spacing w:val="-3"/>
                <w:sz w:val="24"/>
              </w:rPr>
              <w:t xml:space="preserve"> (</w:t>
            </w:r>
            <w:r>
              <w:rPr>
                <w:sz w:val="24"/>
              </w:rPr>
              <w:t>050) 363-55-94</w:t>
            </w:r>
          </w:p>
          <w:p w:rsidR="00EC4FCD" w:rsidRDefault="00EC4FCD" w:rsidP="00EC4FCD">
            <w:pPr>
              <w:pStyle w:val="TableParagraph"/>
              <w:spacing w:line="240" w:lineRule="auto"/>
              <w:rPr>
                <w:sz w:val="24"/>
              </w:rPr>
            </w:pPr>
            <w:proofErr w:type="spellStart"/>
            <w:r>
              <w:rPr>
                <w:sz w:val="24"/>
              </w:rPr>
              <w:t>тел</w:t>
            </w:r>
            <w:proofErr w:type="spellEnd"/>
            <w:r>
              <w:rPr>
                <w:sz w:val="24"/>
              </w:rPr>
              <w:t>.:</w:t>
            </w:r>
            <w:r>
              <w:rPr>
                <w:spacing w:val="-3"/>
                <w:sz w:val="24"/>
              </w:rPr>
              <w:t xml:space="preserve"> (</w:t>
            </w:r>
            <w:r>
              <w:rPr>
                <w:sz w:val="24"/>
              </w:rPr>
              <w:t>066) 120-84-25</w:t>
            </w:r>
          </w:p>
          <w:p w:rsidR="00EC4FCD" w:rsidRDefault="00EC4FCD" w:rsidP="00EC4FCD">
            <w:pPr>
              <w:pStyle w:val="TableParagraph"/>
              <w:spacing w:line="261" w:lineRule="exact"/>
              <w:rPr>
                <w:sz w:val="24"/>
              </w:rPr>
            </w:pPr>
            <w:r>
              <w:rPr>
                <w:sz w:val="24"/>
              </w:rPr>
              <w:t>e-</w:t>
            </w:r>
            <w:proofErr w:type="spellStart"/>
            <w:r>
              <w:rPr>
                <w:sz w:val="24"/>
              </w:rPr>
              <w:t>mail</w:t>
            </w:r>
            <w:proofErr w:type="spellEnd"/>
            <w:r>
              <w:rPr>
                <w:sz w:val="24"/>
              </w:rPr>
              <w:t>:</w:t>
            </w:r>
            <w:r>
              <w:rPr>
                <w:color w:val="0000FF"/>
                <w:sz w:val="24"/>
              </w:rPr>
              <w:t xml:space="preserve"> </w:t>
            </w:r>
            <w:hyperlink r:id="rId7" w:history="1">
              <w:r w:rsidRPr="00174DD7">
                <w:rPr>
                  <w:rStyle w:val="a5"/>
                  <w:sz w:val="24"/>
                  <w:szCs w:val="24"/>
                  <w:u w:color="0000FF"/>
                </w:rPr>
                <w:t>region.energosbyt@gmail.com</w:t>
              </w:r>
            </w:hyperlink>
          </w:p>
        </w:tc>
      </w:tr>
      <w:tr w:rsidR="00EC4FCD" w:rsidTr="00EC4FCD">
        <w:trPr>
          <w:trHeight w:val="828"/>
        </w:trPr>
        <w:tc>
          <w:tcPr>
            <w:tcW w:w="5281" w:type="dxa"/>
          </w:tcPr>
          <w:p w:rsidR="00EC4FCD" w:rsidRDefault="00EC4FCD" w:rsidP="00EC4FCD">
            <w:pPr>
              <w:pStyle w:val="TableParagraph"/>
              <w:spacing w:line="251" w:lineRule="exact"/>
              <w:rPr>
                <w:sz w:val="24"/>
              </w:rPr>
            </w:pPr>
            <w:proofErr w:type="spellStart"/>
            <w:r>
              <w:rPr>
                <w:sz w:val="24"/>
              </w:rPr>
              <w:t>Web</w:t>
            </w:r>
            <w:proofErr w:type="spellEnd"/>
            <w:r>
              <w:rPr>
                <w:sz w:val="24"/>
              </w:rPr>
              <w:t>-са</w:t>
            </w:r>
            <w:hyperlink r:id="rId8">
              <w:r>
                <w:rPr>
                  <w:sz w:val="24"/>
                </w:rPr>
                <w:t xml:space="preserve">йт: </w:t>
              </w:r>
            </w:hyperlink>
            <w:hyperlink r:id="rId9" w:history="1">
              <w:r w:rsidRPr="00B63499">
                <w:rPr>
                  <w:rStyle w:val="a5"/>
                  <w:sz w:val="24"/>
                </w:rPr>
                <w:t>https://region-energosbyt.com.ua/</w:t>
              </w:r>
            </w:hyperlink>
          </w:p>
        </w:tc>
      </w:tr>
    </w:tbl>
    <w:p w:rsidR="008932A5" w:rsidRDefault="008932A5">
      <w:pPr>
        <w:pStyle w:val="a3"/>
        <w:spacing w:before="4"/>
        <w:ind w:left="0"/>
        <w:rPr>
          <w:sz w:val="33"/>
        </w:rPr>
      </w:pPr>
    </w:p>
    <w:p w:rsidR="008932A5" w:rsidRDefault="004B452C">
      <w:pPr>
        <w:pStyle w:val="2"/>
        <w:ind w:right="3485"/>
        <w:jc w:val="left"/>
      </w:pPr>
      <w:r>
        <w:t>З комерційною пропозицією ознайомлений та згодний, (посада, ПІБ)</w:t>
      </w:r>
    </w:p>
    <w:p w:rsidR="008932A5" w:rsidRDefault="004B452C">
      <w:pPr>
        <w:pStyle w:val="a3"/>
        <w:spacing w:line="20" w:lineRule="exact"/>
        <w:ind w:left="6499"/>
        <w:rPr>
          <w:sz w:val="2"/>
        </w:rPr>
      </w:pPr>
      <w:r>
        <w:rPr>
          <w:noProof/>
          <w:sz w:val="2"/>
          <w:lang w:val="en-US" w:eastAsia="en-US" w:bidi="ar-SA"/>
        </w:rPr>
        <mc:AlternateContent>
          <mc:Choice Requires="wpg">
            <w:drawing>
              <wp:inline distT="0" distB="0" distL="0" distR="0">
                <wp:extent cx="1676400" cy="10160"/>
                <wp:effectExtent l="9525" t="0" r="9525" b="889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10160"/>
                          <a:chOff x="0" y="0"/>
                          <a:chExt cx="2640" cy="16"/>
                        </a:xfrm>
                      </wpg:grpSpPr>
                      <wps:wsp>
                        <wps:cNvPr id="2" name="Line 3"/>
                        <wps:cNvCnPr/>
                        <wps:spPr bwMode="auto">
                          <a:xfrm>
                            <a:off x="0" y="8"/>
                            <a:ext cx="264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49F889" id="Group 2" o:spid="_x0000_s1026" style="width:132pt;height:.8pt;mso-position-horizontal-relative:char;mso-position-vertical-relative:line" coordsize="264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">
                <v:line id="Line 3" o:spid="_x0000_s1027" style="position:absolute;visibility:visible;mso-wrap-style:square" from="0,8" to="26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" strokeweight=".26669mm"/>
                <w10:anchorlock/>
              </v:group>
            </w:pict>
          </mc:Fallback>
        </mc:AlternateContent>
      </w:r>
    </w:p>
    <w:p w:rsidR="008932A5" w:rsidRDefault="008932A5">
      <w:pPr>
        <w:pStyle w:val="a3"/>
        <w:spacing w:before="5"/>
        <w:ind w:left="0"/>
        <w:rPr>
          <w:b/>
          <w:sz w:val="14"/>
        </w:rPr>
      </w:pPr>
    </w:p>
    <w:p w:rsidR="008932A5" w:rsidRDefault="004B452C">
      <w:pPr>
        <w:spacing w:before="90"/>
        <w:ind w:left="202"/>
        <w:rPr>
          <w:b/>
          <w:sz w:val="24"/>
        </w:rPr>
      </w:pPr>
      <w:r>
        <w:rPr>
          <w:b/>
          <w:sz w:val="24"/>
        </w:rPr>
        <w:t>(дата)</w:t>
      </w:r>
    </w:p>
    <w:sectPr w:rsidR="008932A5">
      <w:pgSz w:w="11910" w:h="16840"/>
      <w:pgMar w:top="1040" w:right="740" w:bottom="280" w:left="1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0638F"/>
    <w:multiLevelType w:val="hybridMultilevel"/>
    <w:tmpl w:val="7376E186"/>
    <w:lvl w:ilvl="0" w:tplc="5834144A">
      <w:numFmt w:val="bullet"/>
      <w:lvlText w:val="-"/>
      <w:lvlJc w:val="left"/>
      <w:pPr>
        <w:ind w:left="202" w:hanging="320"/>
      </w:pPr>
      <w:rPr>
        <w:rFonts w:ascii="Book Antiqua" w:eastAsia="Book Antiqua" w:hAnsi="Book Antiqua" w:cs="Book Antiqua" w:hint="default"/>
        <w:w w:val="96"/>
        <w:sz w:val="20"/>
        <w:szCs w:val="20"/>
        <w:lang w:val="uk-UA" w:eastAsia="uk-UA" w:bidi="uk-UA"/>
      </w:rPr>
    </w:lvl>
    <w:lvl w:ilvl="1" w:tplc="B5A6306C">
      <w:numFmt w:val="bullet"/>
      <w:lvlText w:val="•"/>
      <w:lvlJc w:val="left"/>
      <w:pPr>
        <w:ind w:left="1146" w:hanging="320"/>
      </w:pPr>
      <w:rPr>
        <w:rFonts w:hint="default"/>
        <w:lang w:val="uk-UA" w:eastAsia="uk-UA" w:bidi="uk-UA"/>
      </w:rPr>
    </w:lvl>
    <w:lvl w:ilvl="2" w:tplc="2CBECA44">
      <w:numFmt w:val="bullet"/>
      <w:lvlText w:val="•"/>
      <w:lvlJc w:val="left"/>
      <w:pPr>
        <w:ind w:left="2093" w:hanging="320"/>
      </w:pPr>
      <w:rPr>
        <w:rFonts w:hint="default"/>
        <w:lang w:val="uk-UA" w:eastAsia="uk-UA" w:bidi="uk-UA"/>
      </w:rPr>
    </w:lvl>
    <w:lvl w:ilvl="3" w:tplc="0A247C86">
      <w:numFmt w:val="bullet"/>
      <w:lvlText w:val="•"/>
      <w:lvlJc w:val="left"/>
      <w:pPr>
        <w:ind w:left="3039" w:hanging="320"/>
      </w:pPr>
      <w:rPr>
        <w:rFonts w:hint="default"/>
        <w:lang w:val="uk-UA" w:eastAsia="uk-UA" w:bidi="uk-UA"/>
      </w:rPr>
    </w:lvl>
    <w:lvl w:ilvl="4" w:tplc="953A5BA4">
      <w:numFmt w:val="bullet"/>
      <w:lvlText w:val="•"/>
      <w:lvlJc w:val="left"/>
      <w:pPr>
        <w:ind w:left="3986" w:hanging="320"/>
      </w:pPr>
      <w:rPr>
        <w:rFonts w:hint="default"/>
        <w:lang w:val="uk-UA" w:eastAsia="uk-UA" w:bidi="uk-UA"/>
      </w:rPr>
    </w:lvl>
    <w:lvl w:ilvl="5" w:tplc="10A6254C">
      <w:numFmt w:val="bullet"/>
      <w:lvlText w:val="•"/>
      <w:lvlJc w:val="left"/>
      <w:pPr>
        <w:ind w:left="4933" w:hanging="320"/>
      </w:pPr>
      <w:rPr>
        <w:rFonts w:hint="default"/>
        <w:lang w:val="uk-UA" w:eastAsia="uk-UA" w:bidi="uk-UA"/>
      </w:rPr>
    </w:lvl>
    <w:lvl w:ilvl="6" w:tplc="47840144">
      <w:numFmt w:val="bullet"/>
      <w:lvlText w:val="•"/>
      <w:lvlJc w:val="left"/>
      <w:pPr>
        <w:ind w:left="5879" w:hanging="320"/>
      </w:pPr>
      <w:rPr>
        <w:rFonts w:hint="default"/>
        <w:lang w:val="uk-UA" w:eastAsia="uk-UA" w:bidi="uk-UA"/>
      </w:rPr>
    </w:lvl>
    <w:lvl w:ilvl="7" w:tplc="DAF449BC">
      <w:numFmt w:val="bullet"/>
      <w:lvlText w:val="•"/>
      <w:lvlJc w:val="left"/>
      <w:pPr>
        <w:ind w:left="6826" w:hanging="320"/>
      </w:pPr>
      <w:rPr>
        <w:rFonts w:hint="default"/>
        <w:lang w:val="uk-UA" w:eastAsia="uk-UA" w:bidi="uk-UA"/>
      </w:rPr>
    </w:lvl>
    <w:lvl w:ilvl="8" w:tplc="2424BA8E">
      <w:numFmt w:val="bullet"/>
      <w:lvlText w:val="•"/>
      <w:lvlJc w:val="left"/>
      <w:pPr>
        <w:ind w:left="7773" w:hanging="320"/>
      </w:pPr>
      <w:rPr>
        <w:rFonts w:hint="default"/>
        <w:lang w:val="uk-UA" w:eastAsia="uk-UA" w:bidi="uk-U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2A5"/>
    <w:rsid w:val="004327AC"/>
    <w:rsid w:val="004B452C"/>
    <w:rsid w:val="008932A5"/>
    <w:rsid w:val="008E7098"/>
    <w:rsid w:val="00A44771"/>
    <w:rsid w:val="00AC1EFB"/>
    <w:rsid w:val="00B8799D"/>
    <w:rsid w:val="00CD0A62"/>
    <w:rsid w:val="00E023AE"/>
    <w:rsid w:val="00EC4FCD"/>
    <w:rsid w:val="00FC4366"/>
    <w:rsid w:val="00FD3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AD437"/>
  <w15:docId w15:val="{7FFEA88A-185B-449A-999C-20C0A4B4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eastAsia="uk-UA" w:bidi="uk-UA"/>
    </w:rPr>
  </w:style>
  <w:style w:type="paragraph" w:styleId="1">
    <w:name w:val="heading 1"/>
    <w:basedOn w:val="a"/>
    <w:uiPriority w:val="1"/>
    <w:qFormat/>
    <w:pPr>
      <w:spacing w:before="2"/>
      <w:ind w:left="94"/>
      <w:jc w:val="center"/>
      <w:outlineLvl w:val="0"/>
    </w:pPr>
    <w:rPr>
      <w:b/>
      <w:bCs/>
      <w:sz w:val="28"/>
      <w:szCs w:val="28"/>
      <w:u w:val="single" w:color="000000"/>
    </w:rPr>
  </w:style>
  <w:style w:type="paragraph" w:styleId="2">
    <w:name w:val="heading 2"/>
    <w:basedOn w:val="a"/>
    <w:uiPriority w:val="1"/>
    <w:qFormat/>
    <w:pPr>
      <w:ind w:left="202"/>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02"/>
    </w:pPr>
    <w:rPr>
      <w:sz w:val="24"/>
      <w:szCs w:val="24"/>
    </w:rPr>
  </w:style>
  <w:style w:type="paragraph" w:styleId="a4">
    <w:name w:val="List Paragraph"/>
    <w:basedOn w:val="a"/>
    <w:uiPriority w:val="1"/>
    <w:qFormat/>
    <w:pPr>
      <w:ind w:left="202" w:hanging="320"/>
    </w:pPr>
  </w:style>
  <w:style w:type="paragraph" w:customStyle="1" w:styleId="TableParagraph">
    <w:name w:val="Table Paragraph"/>
    <w:basedOn w:val="a"/>
    <w:uiPriority w:val="1"/>
    <w:qFormat/>
    <w:pPr>
      <w:spacing w:line="256" w:lineRule="exact"/>
      <w:ind w:left="200"/>
    </w:pPr>
  </w:style>
  <w:style w:type="character" w:styleId="a5">
    <w:name w:val="Hyperlink"/>
    <w:basedOn w:val="a0"/>
    <w:uiPriority w:val="99"/>
    <w:unhideWhenUsed/>
    <w:rsid w:val="00B879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denergytrade.com.ua/" TargetMode="External"/><Relationship Id="rId3" Type="http://schemas.openxmlformats.org/officeDocument/2006/relationships/settings" Target="settings.xml"/><Relationship Id="rId7" Type="http://schemas.openxmlformats.org/officeDocument/2006/relationships/hyperlink" Target="mailto:region.energosbyt@gmail.com%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on.energosbyt@gmail.com%20" TargetMode="External"/><Relationship Id="rId11" Type="http://schemas.openxmlformats.org/officeDocument/2006/relationships/theme" Target="theme/theme1.xml"/><Relationship Id="rId5" Type="http://schemas.openxmlformats.org/officeDocument/2006/relationships/hyperlink" Target="mailto:budenergytrade@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gion-energosbyt.co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963</Words>
  <Characters>5494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6</cp:revision>
  <dcterms:created xsi:type="dcterms:W3CDTF">2021-06-22T06:59:00Z</dcterms:created>
  <dcterms:modified xsi:type="dcterms:W3CDTF">2021-06-24T13:13:00Z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Microsoft® Word 2013</vt:lpwstr>
  </property>
  <property fmtid="{D5CDD505-2E9C-101B-9397-08002B2CF9AE}" pid="4" name="LastSaved">
    <vt:filetime>2021-01-11T00:00:00Z</vt:filetime>
  </property>
</Properties>
</file>